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CB" w:rsidRPr="00F359AD" w:rsidRDefault="007A734B" w:rsidP="00E73BCB">
      <w:pPr>
        <w:ind w:left="5103"/>
        <w:rPr>
          <w:bCs/>
        </w:rPr>
      </w:pPr>
      <w:r>
        <w:rPr>
          <w:bCs/>
        </w:rPr>
        <w:t xml:space="preserve">Приложение </w:t>
      </w:r>
      <w:r w:rsidR="00A24293">
        <w:rPr>
          <w:bCs/>
        </w:rPr>
        <w:t>3</w:t>
      </w:r>
    </w:p>
    <w:p w:rsidR="00E73BCB" w:rsidRPr="00F359AD" w:rsidRDefault="00732372" w:rsidP="0048185C">
      <w:pPr>
        <w:ind w:left="5103"/>
        <w:rPr>
          <w:bCs/>
        </w:rPr>
      </w:pPr>
      <w:r w:rsidRPr="00F359AD">
        <w:rPr>
          <w:bCs/>
        </w:rPr>
        <w:t xml:space="preserve">к приказу </w:t>
      </w:r>
      <w:r w:rsidR="004F4FD0">
        <w:t>№</w:t>
      </w:r>
      <w:r w:rsidR="00A94247">
        <w:t>14</w:t>
      </w:r>
      <w:r w:rsidR="0048185C">
        <w:t xml:space="preserve"> от 29.12.2018</w:t>
      </w:r>
      <w:r w:rsidR="004F4FD0">
        <w:t>г.</w:t>
      </w:r>
    </w:p>
    <w:p w:rsidR="00E73BCB" w:rsidRDefault="00E73BCB" w:rsidP="00E73BCB">
      <w:pPr>
        <w:jc w:val="center"/>
      </w:pPr>
    </w:p>
    <w:p w:rsidR="00E73BCB" w:rsidRPr="0048185C" w:rsidRDefault="00E73BCB" w:rsidP="00E73BCB">
      <w:pPr>
        <w:jc w:val="center"/>
        <w:rPr>
          <w:b/>
        </w:rPr>
      </w:pPr>
      <w:r w:rsidRPr="0048185C">
        <w:rPr>
          <w:b/>
        </w:rPr>
        <w:t>Правила</w:t>
      </w:r>
    </w:p>
    <w:p w:rsidR="00E73BCB" w:rsidRPr="0048185C" w:rsidRDefault="00E73BCB" w:rsidP="00E73BCB">
      <w:pPr>
        <w:jc w:val="center"/>
        <w:rPr>
          <w:b/>
        </w:rPr>
      </w:pPr>
      <w:r w:rsidRPr="0048185C">
        <w:rPr>
          <w:b/>
        </w:rPr>
        <w:t xml:space="preserve">осуществления внутреннего контроля соответствия обработки </w:t>
      </w:r>
    </w:p>
    <w:p w:rsidR="00E73BCB" w:rsidRPr="0048185C" w:rsidRDefault="00E73BCB" w:rsidP="00E73BCB">
      <w:pPr>
        <w:jc w:val="center"/>
        <w:rPr>
          <w:b/>
        </w:rPr>
      </w:pPr>
      <w:r w:rsidRPr="0048185C">
        <w:rPr>
          <w:b/>
        </w:rPr>
        <w:t>персональных данных требованиям к защите персональных данных, политике оператора в отношении обработки персональных данных</w:t>
      </w:r>
    </w:p>
    <w:p w:rsidR="00E73BCB" w:rsidRPr="0048185C" w:rsidRDefault="00E73BCB" w:rsidP="00E73BCB">
      <w:pPr>
        <w:ind w:firstLine="567"/>
        <w:jc w:val="both"/>
        <w:rPr>
          <w:b/>
        </w:rPr>
      </w:pPr>
    </w:p>
    <w:p w:rsidR="00E73BCB" w:rsidRPr="00CD0AD7" w:rsidRDefault="00E73BCB" w:rsidP="00E73BCB">
      <w:pPr>
        <w:ind w:firstLine="709"/>
        <w:jc w:val="both"/>
        <w:rPr>
          <w:b/>
          <w:bCs/>
          <w:spacing w:val="-6"/>
        </w:rPr>
      </w:pPr>
      <w:r w:rsidRPr="00CD0AD7">
        <w:rPr>
          <w:spacing w:val="-6"/>
        </w:rPr>
        <w:t xml:space="preserve">1. Настоящие правила определяют основания, форму и порядок осуществления в </w:t>
      </w:r>
      <w:r w:rsidR="00C83A62">
        <w:t xml:space="preserve">МБОУ </w:t>
      </w:r>
      <w:r w:rsidR="004F4FD0">
        <w:t xml:space="preserve">ОШ с. </w:t>
      </w:r>
      <w:r w:rsidR="00C83A62">
        <w:t>Топтыково</w:t>
      </w:r>
      <w:r w:rsidR="00FA5A40" w:rsidRPr="00CD0AD7">
        <w:rPr>
          <w:spacing w:val="-6"/>
        </w:rPr>
        <w:t xml:space="preserve"> </w:t>
      </w:r>
      <w:r w:rsidRPr="00CD0AD7">
        <w:rPr>
          <w:spacing w:val="-6"/>
        </w:rPr>
        <w:t>(далее – О</w:t>
      </w:r>
      <w:r w:rsidR="00A906BA">
        <w:rPr>
          <w:spacing w:val="-6"/>
        </w:rPr>
        <w:t>У</w:t>
      </w:r>
      <w:r w:rsidRPr="00CD0AD7">
        <w:rPr>
          <w:spacing w:val="-6"/>
        </w:rPr>
        <w:t xml:space="preserve"> или Оператор) внутреннего контроля соответствия обработки персональных данных требованиям к защите персональных данных и политике оператора в отношении обработки персональных данных, установленным Федеральным законом от 27.07.2006 № 152-ФЗ «О персональных данных</w:t>
      </w:r>
      <w:proofErr w:type="gramStart"/>
      <w:r w:rsidRPr="00CD0AD7">
        <w:rPr>
          <w:spacing w:val="-6"/>
        </w:rPr>
        <w:t>»</w:t>
      </w:r>
      <w:r w:rsidR="00041E38" w:rsidRPr="0037534F">
        <w:t>(</w:t>
      </w:r>
      <w:proofErr w:type="gramEnd"/>
      <w:r w:rsidR="00041E38" w:rsidRPr="0037534F">
        <w:t>далее – Федеральный закон № 152-ФЗ)</w:t>
      </w:r>
      <w:r w:rsidRPr="00CD0AD7">
        <w:rPr>
          <w:spacing w:val="-6"/>
        </w:rPr>
        <w:t xml:space="preserve"> и принятыми в соответствии с ним нормативными правовыми актами. </w:t>
      </w:r>
    </w:p>
    <w:p w:rsidR="00E73BCB" w:rsidRPr="0037534F" w:rsidRDefault="00E73BCB" w:rsidP="00E73BCB">
      <w:pPr>
        <w:ind w:firstLine="709"/>
        <w:jc w:val="both"/>
        <w:rPr>
          <w:b/>
        </w:rPr>
      </w:pPr>
      <w:r w:rsidRPr="0037534F">
        <w:t>2.</w:t>
      </w:r>
      <w:r>
        <w:t> </w:t>
      </w:r>
      <w:r w:rsidRPr="0037534F">
        <w:t>Настоящие правила разработаны в соответствии с Федеральным законом № 152-ФЗ</w:t>
      </w:r>
      <w:r w:rsidR="00041E38">
        <w:t>,</w:t>
      </w:r>
      <w:r w:rsidRPr="0037534F">
        <w:t xml:space="preserve">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(далее – постановление Правительства № 1119).</w:t>
      </w:r>
    </w:p>
    <w:p w:rsidR="00E73BCB" w:rsidRPr="00AD248A" w:rsidRDefault="00E73BCB" w:rsidP="00E73BCB">
      <w:pPr>
        <w:ind w:firstLine="709"/>
        <w:jc w:val="both"/>
        <w:rPr>
          <w:b/>
          <w:spacing w:val="-4"/>
        </w:rPr>
      </w:pPr>
      <w:r w:rsidRPr="00AD248A">
        <w:rPr>
          <w:spacing w:val="-4"/>
        </w:rPr>
        <w:t>3. 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4.</w:t>
      </w:r>
      <w:r>
        <w:t> </w:t>
      </w:r>
      <w:r w:rsidRPr="0037534F">
        <w:t>Основанием для проведения внутреннего контроля являются требования Федерального закона № 152-ФЗ (часть 1, статья 18.1) и постановления Правительства № 1119 (п. 17).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5.</w:t>
      </w:r>
      <w:r>
        <w:t> </w:t>
      </w:r>
      <w:r w:rsidRPr="0037534F">
        <w:t>Внутренний контроль осуществляется путем проведения проверок не реже 1 раза в год.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6.</w:t>
      </w:r>
      <w:r>
        <w:t> </w:t>
      </w:r>
      <w:r w:rsidRPr="0037534F">
        <w:t xml:space="preserve">Проверку проводит Комиссия, назначенная приказом </w:t>
      </w:r>
      <w:r w:rsidR="00041E38" w:rsidRPr="00FA5A40">
        <w:t>директора</w:t>
      </w:r>
      <w:r w:rsidR="00FA5A40">
        <w:rPr>
          <w:b/>
        </w:rPr>
        <w:t xml:space="preserve"> </w:t>
      </w:r>
      <w:r w:rsidRPr="0037534F">
        <w:t>О</w:t>
      </w:r>
      <w:r w:rsidR="00A906BA">
        <w:t>У</w:t>
      </w:r>
      <w:r w:rsidRPr="0037534F">
        <w:t xml:space="preserve"> или на договорной основе юридическое лицо (индивидуальный предприниматель), имеющее лицензию на осуществление деятельности по технической защите конфиденциальной информации. 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7.</w:t>
      </w:r>
      <w:r>
        <w:t> </w:t>
      </w:r>
      <w:r w:rsidRPr="0037534F">
        <w:t>Состав Комиссии не менее 3-х человек, включая лицо, ответственное за организацию обработки персональных данных. Все члены комиссии при принятии решения обладают равными правами.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8.</w:t>
      </w:r>
      <w:r>
        <w:t> </w:t>
      </w:r>
      <w:r w:rsidRPr="0037534F">
        <w:t>Комиссия при проведении проверки обязана:</w:t>
      </w:r>
    </w:p>
    <w:p w:rsidR="00E73BCB" w:rsidRPr="00CD0AD7" w:rsidRDefault="00CD0AD7" w:rsidP="00E73BCB">
      <w:pPr>
        <w:pStyle w:val="af1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0AD7"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="00E73BCB" w:rsidRPr="00CD0AD7">
        <w:rPr>
          <w:rFonts w:ascii="Times New Roman" w:hAnsi="Times New Roman" w:cs="Times New Roman"/>
          <w:spacing w:val="-6"/>
          <w:sz w:val="28"/>
          <w:szCs w:val="28"/>
        </w:rPr>
        <w:t>провести анализ реализации мер, направленных на обеспечение выполнения Оператором обязанностей предусмотренных Федеральным законом № 152-ФЗ (статья 18.1, статья 19) и принятыми в соответствии с ним локальными актами Оператора определяющих его политику в отношении обработки персональных данных;</w:t>
      </w:r>
    </w:p>
    <w:p w:rsidR="00E73BCB" w:rsidRPr="0037534F" w:rsidRDefault="00CD0AD7" w:rsidP="00E7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AD7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E73BCB">
        <w:rPr>
          <w:rFonts w:ascii="Times New Roman" w:hAnsi="Times New Roman" w:cs="Times New Roman"/>
          <w:sz w:val="28"/>
          <w:szCs w:val="28"/>
        </w:rPr>
        <w:t> </w:t>
      </w:r>
      <w:r w:rsidR="00E73BCB" w:rsidRPr="0037534F">
        <w:rPr>
          <w:rFonts w:ascii="Times New Roman" w:hAnsi="Times New Roman" w:cs="Times New Roman"/>
          <w:sz w:val="28"/>
          <w:szCs w:val="28"/>
        </w:rPr>
        <w:t>провести анализ выполнения оператором требований по определению и обеспечению уровня защищенности персональных данных, утвержденных постановлением Правительства № 1119;</w:t>
      </w:r>
    </w:p>
    <w:p w:rsidR="00E73BCB" w:rsidRPr="00CD0AD7" w:rsidRDefault="00CD0AD7" w:rsidP="00E73BCB">
      <w:pPr>
        <w:pStyle w:val="af1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0AD7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E73BCB" w:rsidRPr="00CD0AD7">
        <w:rPr>
          <w:rFonts w:ascii="Times New Roman" w:hAnsi="Times New Roman" w:cs="Times New Roman"/>
          <w:spacing w:val="-4"/>
          <w:sz w:val="28"/>
          <w:szCs w:val="28"/>
        </w:rPr>
        <w:t> провести анализ реализации Оператором организационных и технических мер по обеспечению безопасности персональных данных, утвержденных приказом ФСТЭК России от</w:t>
      </w:r>
      <w:r w:rsidR="00E73BCB" w:rsidRPr="00CD0AD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18.02.2013 № 21 «Об утверждении состава и содержания </w:t>
      </w:r>
      <w:r w:rsidR="00E73BCB" w:rsidRPr="00CD0AD7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>провести анализ состава оборудования, программных средств, включая средства защиты, входящих в состав информационной системы персональных данных на соответствие Техническому паспорту информационной системы;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>своевременно и в полной мере исполнять предоставленные полномочия по предупреждению, выявлению и пресечению нарушений требований к защите персональных данных, установленных законодательными и нормативными правовыми актами Российской Федерации;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 xml:space="preserve">при проведении проверки соблюдать законодательство Российской Федерации, права и законные интересы </w:t>
      </w:r>
      <w:r w:rsidR="00E73BCB">
        <w:t>О</w:t>
      </w:r>
      <w:r w:rsidR="00E73BCB" w:rsidRPr="0037534F">
        <w:t>ператора.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9.</w:t>
      </w:r>
      <w:r>
        <w:t> </w:t>
      </w:r>
      <w:r w:rsidRPr="0037534F">
        <w:t xml:space="preserve">Комиссия при проведении проверки вправе: 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>запрашивать и получать необходимые документы (сведения) для достижения целей проведения внутреннего контроля;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>получать доступ к информационным системам персональных данных в части касающейся ее полномочий;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>принимать меры по приостановлению или прекращению обработки персональных данных, осуществляемой с нарушением требований к защите персональных данных;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 xml:space="preserve">вносить </w:t>
      </w:r>
      <w:r w:rsidR="00041E38" w:rsidRPr="00FA5A40">
        <w:t>директору</w:t>
      </w:r>
      <w:bookmarkStart w:id="0" w:name="_GoBack"/>
      <w:bookmarkEnd w:id="0"/>
      <w:r w:rsidR="001D6CE3">
        <w:rPr>
          <w:b/>
        </w:rPr>
        <w:t xml:space="preserve"> </w:t>
      </w:r>
      <w:r w:rsidR="001D6CE3">
        <w:t>ОУ</w:t>
      </w:r>
      <w:r w:rsidR="00E73BCB" w:rsidRPr="0037534F">
        <w:t xml:space="preserve"> предложения о привлечении к дисциплинарной ответственности лиц, виновных в нарушении требований к защите персональных данных, установленных законодательными и нормативными правовыми актами Российской Федерации.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10.</w:t>
      </w:r>
      <w:r>
        <w:t> </w:t>
      </w:r>
      <w:r w:rsidRPr="0037534F">
        <w:t>При проведении проверки члены Комиссии не вправе: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>требовать представления документов и сведений, не относящихся к предмету проверки;</w:t>
      </w:r>
    </w:p>
    <w:p w:rsidR="00E73BCB" w:rsidRPr="0037534F" w:rsidRDefault="00CD0AD7" w:rsidP="00E73BCB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 w:rsidR="00E73BCB">
        <w:t> </w:t>
      </w:r>
      <w:r w:rsidR="00E73BCB" w:rsidRPr="0037534F">
        <w:t xml:space="preserve">распространять информацию и сведения конфиденциального характера, полученные при проведении проверки. </w:t>
      </w:r>
    </w:p>
    <w:p w:rsidR="00E73BCB" w:rsidRPr="0037534F" w:rsidRDefault="00E73BCB" w:rsidP="00E73BCB">
      <w:pPr>
        <w:ind w:firstLine="709"/>
        <w:jc w:val="both"/>
        <w:rPr>
          <w:b/>
          <w:bCs/>
        </w:rPr>
      </w:pPr>
      <w:r w:rsidRPr="0037534F">
        <w:t>11.</w:t>
      </w:r>
      <w:r>
        <w:t> </w:t>
      </w:r>
      <w:r w:rsidR="00CD0AD7">
        <w:t xml:space="preserve">По </w:t>
      </w:r>
      <w:r w:rsidRPr="0037534F">
        <w:t>результатам проверки составляется Акт проверки, который подписывается членами комиссии и представляется руководителю организации для принятия соответствующего решения.</w:t>
      </w:r>
    </w:p>
    <w:p w:rsidR="00E73BCB" w:rsidRPr="00E73BCB" w:rsidRDefault="00E73BCB" w:rsidP="00E73BCB">
      <w:pPr>
        <w:ind w:firstLine="709"/>
        <w:jc w:val="both"/>
        <w:rPr>
          <w:b/>
          <w:bCs/>
          <w:spacing w:val="-4"/>
        </w:rPr>
      </w:pPr>
      <w:r w:rsidRPr="00E73BCB">
        <w:rPr>
          <w:spacing w:val="-4"/>
        </w:rPr>
        <w:t>12.</w:t>
      </w:r>
      <w:r w:rsidR="00CD0AD7">
        <w:rPr>
          <w:spacing w:val="-4"/>
        </w:rPr>
        <w:t> </w:t>
      </w:r>
      <w:r w:rsidRPr="00E73BCB">
        <w:rPr>
          <w:spacing w:val="-4"/>
        </w:rPr>
        <w:t>В Акте отражаются сведения о результатах проверки, в том числе о выявленных нарушениях обязательных требований законодательных и нормативных правовых актов Российской Федерации в области защиты персональных данных, об их характере и о лицах, допустивших указанные нарушения.</w:t>
      </w:r>
    </w:p>
    <w:p w:rsidR="00E73BCB" w:rsidRPr="00F11C6C" w:rsidRDefault="00E73BCB" w:rsidP="00E73BCB">
      <w:pPr>
        <w:ind w:firstLine="709"/>
        <w:jc w:val="both"/>
      </w:pPr>
      <w:r w:rsidRPr="00F11C6C">
        <w:t>13.</w:t>
      </w:r>
      <w:r w:rsidR="00CD0AD7" w:rsidRPr="00F11C6C">
        <w:t> </w:t>
      </w:r>
      <w:r w:rsidRPr="00F11C6C">
        <w:t>Акт должен содержать заключение о соответствии или несоответствии обработки персональных данных требованиям к защите персональных данных и политике оператора в отношении обработки персональных данных, установленным Федеральным законом</w:t>
      </w:r>
      <w:r w:rsidR="00FA5A40">
        <w:t xml:space="preserve"> </w:t>
      </w:r>
      <w:r w:rsidRPr="00F11C6C">
        <w:t xml:space="preserve">от 27.07.2006 № 152-ФЗ «О персональных данных» и принятыми в соответствии с ним нормативными правовыми актами. </w:t>
      </w:r>
    </w:p>
    <w:p w:rsidR="00E73BCB" w:rsidRPr="0037534F" w:rsidRDefault="00E73BCB" w:rsidP="00981072">
      <w:pPr>
        <w:jc w:val="center"/>
        <w:rPr>
          <w:b/>
          <w:highlight w:val="yellow"/>
        </w:rPr>
      </w:pPr>
    </w:p>
    <w:sectPr w:rsidR="00E73BCB" w:rsidRPr="0037534F" w:rsidSect="0027562E">
      <w:headerReference w:type="default" r:id="rId8"/>
      <w:pgSz w:w="11907" w:h="16840" w:code="9"/>
      <w:pgMar w:top="1134" w:right="567" w:bottom="1134" w:left="1418" w:header="39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34" w:rsidRDefault="00566934">
      <w:r>
        <w:separator/>
      </w:r>
    </w:p>
  </w:endnote>
  <w:endnote w:type="continuationSeparator" w:id="0">
    <w:p w:rsidR="00566934" w:rsidRDefault="0056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34" w:rsidRDefault="00566934">
      <w:r>
        <w:separator/>
      </w:r>
    </w:p>
  </w:footnote>
  <w:footnote w:type="continuationSeparator" w:id="0">
    <w:p w:rsidR="00566934" w:rsidRDefault="0056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8131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06BA" w:rsidRPr="00454BA0" w:rsidRDefault="00967728" w:rsidP="000A1E88">
        <w:pPr>
          <w:pStyle w:val="a4"/>
          <w:jc w:val="center"/>
          <w:rPr>
            <w:sz w:val="24"/>
            <w:szCs w:val="24"/>
          </w:rPr>
        </w:pPr>
        <w:r w:rsidRPr="000A1E88">
          <w:rPr>
            <w:sz w:val="24"/>
            <w:szCs w:val="24"/>
          </w:rPr>
          <w:fldChar w:fldCharType="begin"/>
        </w:r>
        <w:r w:rsidR="00A906BA" w:rsidRPr="000A1E88">
          <w:rPr>
            <w:sz w:val="24"/>
            <w:szCs w:val="24"/>
          </w:rPr>
          <w:instrText>PAGE   \* MERGEFORMAT</w:instrText>
        </w:r>
        <w:r w:rsidRPr="000A1E88">
          <w:rPr>
            <w:sz w:val="24"/>
            <w:szCs w:val="24"/>
          </w:rPr>
          <w:fldChar w:fldCharType="separate"/>
        </w:r>
        <w:r w:rsidR="00A94247">
          <w:rPr>
            <w:noProof/>
            <w:sz w:val="24"/>
            <w:szCs w:val="24"/>
          </w:rPr>
          <w:t>2</w:t>
        </w:r>
        <w:r w:rsidRPr="000A1E8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F5"/>
    <w:multiLevelType w:val="multilevel"/>
    <w:tmpl w:val="25F8E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1">
    <w:nsid w:val="0DAD5D08"/>
    <w:multiLevelType w:val="multilevel"/>
    <w:tmpl w:val="792E6A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81414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4">
    <w:nsid w:val="2DEF6C50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F0686"/>
    <w:multiLevelType w:val="multilevel"/>
    <w:tmpl w:val="E64450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5938DA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13033C"/>
    <w:multiLevelType w:val="multilevel"/>
    <w:tmpl w:val="AC2EF7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B7240"/>
    <w:rsid w:val="00041E38"/>
    <w:rsid w:val="00060622"/>
    <w:rsid w:val="00062CC7"/>
    <w:rsid w:val="000669A1"/>
    <w:rsid w:val="00091224"/>
    <w:rsid w:val="000A1E88"/>
    <w:rsid w:val="000A5FCF"/>
    <w:rsid w:val="000F568D"/>
    <w:rsid w:val="0012086D"/>
    <w:rsid w:val="00126722"/>
    <w:rsid w:val="00136941"/>
    <w:rsid w:val="00144E2A"/>
    <w:rsid w:val="00163055"/>
    <w:rsid w:val="001D5EAC"/>
    <w:rsid w:val="001D6CE3"/>
    <w:rsid w:val="00221081"/>
    <w:rsid w:val="00243CEF"/>
    <w:rsid w:val="00267A9C"/>
    <w:rsid w:val="0027562E"/>
    <w:rsid w:val="002762ED"/>
    <w:rsid w:val="00280E9E"/>
    <w:rsid w:val="002860B3"/>
    <w:rsid w:val="002B0C33"/>
    <w:rsid w:val="002B7F0F"/>
    <w:rsid w:val="00386824"/>
    <w:rsid w:val="003B7240"/>
    <w:rsid w:val="003B7836"/>
    <w:rsid w:val="003D0F3D"/>
    <w:rsid w:val="003E1356"/>
    <w:rsid w:val="00422173"/>
    <w:rsid w:val="004241DE"/>
    <w:rsid w:val="004272DB"/>
    <w:rsid w:val="00440B3D"/>
    <w:rsid w:val="00454BA0"/>
    <w:rsid w:val="0048185C"/>
    <w:rsid w:val="004C432D"/>
    <w:rsid w:val="004F4FD0"/>
    <w:rsid w:val="004F608F"/>
    <w:rsid w:val="00516D09"/>
    <w:rsid w:val="005200FE"/>
    <w:rsid w:val="0054549B"/>
    <w:rsid w:val="00566934"/>
    <w:rsid w:val="00571667"/>
    <w:rsid w:val="00590F26"/>
    <w:rsid w:val="005945C0"/>
    <w:rsid w:val="00597DF6"/>
    <w:rsid w:val="005D2DE7"/>
    <w:rsid w:val="005F294C"/>
    <w:rsid w:val="00631915"/>
    <w:rsid w:val="0064530A"/>
    <w:rsid w:val="0065456B"/>
    <w:rsid w:val="00660822"/>
    <w:rsid w:val="006747AA"/>
    <w:rsid w:val="00686870"/>
    <w:rsid w:val="006A1084"/>
    <w:rsid w:val="006B0B64"/>
    <w:rsid w:val="006D363C"/>
    <w:rsid w:val="00710D3C"/>
    <w:rsid w:val="00712020"/>
    <w:rsid w:val="00714F0F"/>
    <w:rsid w:val="00732372"/>
    <w:rsid w:val="00764368"/>
    <w:rsid w:val="007862CE"/>
    <w:rsid w:val="007A734B"/>
    <w:rsid w:val="007E46DD"/>
    <w:rsid w:val="007E6B9C"/>
    <w:rsid w:val="007E79AB"/>
    <w:rsid w:val="007F70AD"/>
    <w:rsid w:val="008437D1"/>
    <w:rsid w:val="00845FF7"/>
    <w:rsid w:val="008509FE"/>
    <w:rsid w:val="00851923"/>
    <w:rsid w:val="008627AB"/>
    <w:rsid w:val="00870E0F"/>
    <w:rsid w:val="00893601"/>
    <w:rsid w:val="008A0791"/>
    <w:rsid w:val="00921C66"/>
    <w:rsid w:val="00924BDD"/>
    <w:rsid w:val="00950512"/>
    <w:rsid w:val="00967728"/>
    <w:rsid w:val="00981072"/>
    <w:rsid w:val="00A00428"/>
    <w:rsid w:val="00A24293"/>
    <w:rsid w:val="00A35739"/>
    <w:rsid w:val="00A531C5"/>
    <w:rsid w:val="00A57826"/>
    <w:rsid w:val="00A650B2"/>
    <w:rsid w:val="00A6646F"/>
    <w:rsid w:val="00A74FFA"/>
    <w:rsid w:val="00A906BA"/>
    <w:rsid w:val="00A94247"/>
    <w:rsid w:val="00AA501F"/>
    <w:rsid w:val="00AC0864"/>
    <w:rsid w:val="00AF6F56"/>
    <w:rsid w:val="00B06EB1"/>
    <w:rsid w:val="00B30648"/>
    <w:rsid w:val="00B7158A"/>
    <w:rsid w:val="00B85C41"/>
    <w:rsid w:val="00BC2213"/>
    <w:rsid w:val="00C0317A"/>
    <w:rsid w:val="00C30CF4"/>
    <w:rsid w:val="00C83A62"/>
    <w:rsid w:val="00CC7C7E"/>
    <w:rsid w:val="00CD0AD7"/>
    <w:rsid w:val="00CD3035"/>
    <w:rsid w:val="00CD33B5"/>
    <w:rsid w:val="00D55D6A"/>
    <w:rsid w:val="00D845E4"/>
    <w:rsid w:val="00D87087"/>
    <w:rsid w:val="00D93398"/>
    <w:rsid w:val="00DB67D9"/>
    <w:rsid w:val="00E25859"/>
    <w:rsid w:val="00E44EAF"/>
    <w:rsid w:val="00E73BCB"/>
    <w:rsid w:val="00E75FD7"/>
    <w:rsid w:val="00E82366"/>
    <w:rsid w:val="00EB6FA0"/>
    <w:rsid w:val="00F11C6C"/>
    <w:rsid w:val="00F218CC"/>
    <w:rsid w:val="00F35BC8"/>
    <w:rsid w:val="00F410DD"/>
    <w:rsid w:val="00F54855"/>
    <w:rsid w:val="00F92E15"/>
    <w:rsid w:val="00FA0ADC"/>
    <w:rsid w:val="00FA5A40"/>
    <w:rsid w:val="00FC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66"/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7562E"/>
  </w:style>
  <w:style w:type="paragraph" w:styleId="af0">
    <w:name w:val="Normal (Web)"/>
    <w:basedOn w:val="a"/>
    <w:uiPriority w:val="99"/>
    <w:rsid w:val="004272DB"/>
    <w:pPr>
      <w:spacing w:before="100" w:beforeAutospacing="1" w:after="100" w:afterAutospacing="1"/>
    </w:pPr>
    <w:rPr>
      <w:bCs/>
      <w:color w:val="000000"/>
      <w:sz w:val="24"/>
      <w:szCs w:val="24"/>
    </w:rPr>
  </w:style>
  <w:style w:type="paragraph" w:customStyle="1" w:styleId="ConsPlusNormal">
    <w:name w:val="ConsPlusNormal"/>
    <w:rsid w:val="00427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sz w:val="20"/>
      <w:szCs w:val="20"/>
    </w:rPr>
  </w:style>
  <w:style w:type="paragraph" w:customStyle="1" w:styleId="l2">
    <w:name w:val="l Заголовок 2"/>
    <w:basedOn w:val="a"/>
    <w:next w:val="a"/>
    <w:qFormat/>
    <w:rsid w:val="004272DB"/>
    <w:pPr>
      <w:keepNext/>
      <w:keepLines/>
      <w:numPr>
        <w:ilvl w:val="1"/>
        <w:numId w:val="6"/>
      </w:numPr>
      <w:spacing w:before="240" w:line="360" w:lineRule="auto"/>
      <w:jc w:val="both"/>
    </w:pPr>
    <w:rPr>
      <w:rFonts w:ascii="Arial" w:hAnsi="Arial"/>
      <w:b/>
      <w:iCs/>
    </w:rPr>
  </w:style>
  <w:style w:type="paragraph" w:customStyle="1" w:styleId="l30">
    <w:name w:val="l Пункт 3"/>
    <w:basedOn w:val="l3"/>
    <w:next w:val="a"/>
    <w:link w:val="l31"/>
    <w:qFormat/>
    <w:rsid w:val="004272DB"/>
    <w:pPr>
      <w:keepNext w:val="0"/>
      <w:keepLines w:val="0"/>
      <w:spacing w:before="0"/>
    </w:pPr>
    <w:rPr>
      <w:b w:val="0"/>
      <w:bCs/>
    </w:rPr>
  </w:style>
  <w:style w:type="paragraph" w:customStyle="1" w:styleId="l3">
    <w:name w:val="l Заголовок 3"/>
    <w:basedOn w:val="a"/>
    <w:next w:val="a"/>
    <w:qFormat/>
    <w:rsid w:val="004272DB"/>
    <w:pPr>
      <w:keepNext/>
      <w:keepLines/>
      <w:numPr>
        <w:ilvl w:val="2"/>
        <w:numId w:val="6"/>
      </w:numPr>
      <w:spacing w:before="12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l31">
    <w:name w:val="l Пункт 3 Знак"/>
    <w:link w:val="l30"/>
    <w:rsid w:val="004272DB"/>
    <w:rPr>
      <w:rFonts w:ascii="Arial" w:hAnsi="Arial"/>
      <w:bCs/>
      <w:sz w:val="24"/>
      <w:szCs w:val="24"/>
    </w:rPr>
  </w:style>
  <w:style w:type="paragraph" w:customStyle="1" w:styleId="l4">
    <w:name w:val="l Заголовок 4"/>
    <w:basedOn w:val="a"/>
    <w:next w:val="a"/>
    <w:qFormat/>
    <w:rsid w:val="004272DB"/>
    <w:pPr>
      <w:keepNext/>
      <w:keepLines/>
      <w:numPr>
        <w:ilvl w:val="3"/>
        <w:numId w:val="6"/>
      </w:numPr>
      <w:spacing w:before="60" w:line="360" w:lineRule="auto"/>
      <w:jc w:val="both"/>
    </w:pPr>
    <w:rPr>
      <w:rFonts w:ascii="Arial" w:hAnsi="Arial"/>
      <w:b/>
      <w:sz w:val="22"/>
      <w:szCs w:val="22"/>
    </w:rPr>
  </w:style>
  <w:style w:type="paragraph" w:customStyle="1" w:styleId="l5">
    <w:name w:val="l Заголовок 5"/>
    <w:basedOn w:val="l4"/>
    <w:next w:val="a"/>
    <w:qFormat/>
    <w:rsid w:val="004272DB"/>
    <w:pPr>
      <w:numPr>
        <w:ilvl w:val="4"/>
      </w:numPr>
      <w:spacing w:before="0"/>
    </w:pPr>
  </w:style>
  <w:style w:type="paragraph" w:customStyle="1" w:styleId="l1">
    <w:name w:val="l Заголовок 1"/>
    <w:basedOn w:val="a"/>
    <w:next w:val="a"/>
    <w:qFormat/>
    <w:rsid w:val="004272DB"/>
    <w:pPr>
      <w:keepNext/>
      <w:keepLines/>
      <w:pageBreakBefore/>
      <w:numPr>
        <w:numId w:val="6"/>
      </w:numPr>
      <w:spacing w:line="360" w:lineRule="auto"/>
      <w:jc w:val="both"/>
    </w:pPr>
    <w:rPr>
      <w:rFonts w:ascii="Arial" w:hAnsi="Arial"/>
      <w:b/>
      <w:caps/>
      <w:kern w:val="32"/>
    </w:rPr>
  </w:style>
  <w:style w:type="paragraph" w:styleId="af1">
    <w:name w:val="No Spacing"/>
    <w:link w:val="af2"/>
    <w:uiPriority w:val="1"/>
    <w:qFormat/>
    <w:rsid w:val="00E73BC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E73BC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516D09"/>
  </w:style>
  <w:style w:type="character" w:styleId="af3">
    <w:name w:val="Emphasis"/>
    <w:qFormat/>
    <w:rsid w:val="00163055"/>
    <w:rPr>
      <w:i/>
      <w:iCs/>
    </w:rPr>
  </w:style>
  <w:style w:type="character" w:styleId="af4">
    <w:name w:val="Strong"/>
    <w:basedOn w:val="a0"/>
    <w:uiPriority w:val="22"/>
    <w:qFormat/>
    <w:rsid w:val="00163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6A3A-9C63-40B6-AF94-070073EF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</Template>
  <TotalTime>9</TotalTime>
  <Pages>2</Pages>
  <Words>596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Munitcom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Валентина</cp:lastModifiedBy>
  <cp:revision>9</cp:revision>
  <cp:lastPrinted>2019-05-20T22:40:00Z</cp:lastPrinted>
  <dcterms:created xsi:type="dcterms:W3CDTF">2016-04-19T08:57:00Z</dcterms:created>
  <dcterms:modified xsi:type="dcterms:W3CDTF">2019-05-20T22:41:00Z</dcterms:modified>
</cp:coreProperties>
</file>